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La planificación se centra en el tema de las fracciones, abordando su concepto, tipos, operaciones y aplicaciones en la vida diaria. Se utilizarán ejemplos prácticos y actividades interactivas para facilitar el aprendizaje.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No se seleccionó destreza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No se seleccionó indicador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Se utilizarán estrategias como el aprendizaje colaborativo, el uso de recursos visuales, juegos didácticos y la resolución de problemas en grupo para fomentar la participación activa de los estudiantes.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Se utilizarán estrategias como el aprendizaje colaborativo, el uso de recursos visuales, juegos didácticos y la resolución de problemas en grupo para fomentar la participación activa de los estudiantes.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Se emplearán materiales como pizarras, proyector, hojas de trabajo, juegos de mesa relacionados con fracciones y recursos digitales interactivos.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Se realizarán evaluaciones formativas a través de cuestionarios, trabajos en grupo y presentaciones. Se utilizarán rúbricas para evaluar la participación y el trabajo en equipo.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Estudiantes con dificultades de aprendizaje en matemáticas.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Se proporcionarán materiales adicionales y tutorías personalizadas para reforzar el aprendizaje de las fracciones.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